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23" w:rsidRPr="00A27928" w:rsidRDefault="008534E9" w:rsidP="00CE5AA7">
      <w:pPr>
        <w:jc w:val="center"/>
        <w:rPr>
          <w:b/>
        </w:rPr>
      </w:pPr>
      <w:r w:rsidRPr="00A27928">
        <w:rPr>
          <w:b/>
        </w:rPr>
        <w:t>П</w:t>
      </w:r>
      <w:r w:rsidR="00CE5AA7" w:rsidRPr="00A27928">
        <w:rPr>
          <w:b/>
        </w:rPr>
        <w:t>роцедур</w:t>
      </w:r>
      <w:r w:rsidRPr="00A27928">
        <w:rPr>
          <w:b/>
        </w:rPr>
        <w:t>ы</w:t>
      </w:r>
      <w:r w:rsidR="00CE5AA7" w:rsidRPr="00A27928">
        <w:rPr>
          <w:b/>
        </w:rPr>
        <w:t xml:space="preserve">, </w:t>
      </w:r>
    </w:p>
    <w:p w:rsidR="00F00BA0" w:rsidRDefault="00CE5AA7" w:rsidP="008C7D18">
      <w:pPr>
        <w:jc w:val="center"/>
        <w:rPr>
          <w:b/>
        </w:rPr>
      </w:pPr>
      <w:r w:rsidRPr="00A27928">
        <w:rPr>
          <w:b/>
        </w:rPr>
        <w:t>необходимы</w:t>
      </w:r>
      <w:r w:rsidR="008534E9" w:rsidRPr="00A27928">
        <w:rPr>
          <w:b/>
        </w:rPr>
        <w:t>е</w:t>
      </w:r>
      <w:r w:rsidRPr="00A27928">
        <w:rPr>
          <w:b/>
        </w:rPr>
        <w:t xml:space="preserve"> для получения разрешения на строительство </w:t>
      </w:r>
    </w:p>
    <w:p w:rsidR="00A27928" w:rsidRDefault="004B40B2" w:rsidP="008C7D18">
      <w:pPr>
        <w:jc w:val="center"/>
        <w:rPr>
          <w:b/>
        </w:rPr>
      </w:pPr>
      <w:r>
        <w:rPr>
          <w:b/>
        </w:rPr>
        <w:t xml:space="preserve">«модельного </w:t>
      </w:r>
      <w:r w:rsidR="00CE5AA7" w:rsidRPr="00A27928">
        <w:rPr>
          <w:b/>
        </w:rPr>
        <w:t xml:space="preserve"> объекта</w:t>
      </w:r>
      <w:r w:rsidR="005C32F7">
        <w:rPr>
          <w:b/>
        </w:rPr>
        <w:t>»</w:t>
      </w:r>
      <w:r w:rsidR="00CE5AA7" w:rsidRPr="00A27928">
        <w:rPr>
          <w:b/>
        </w:rPr>
        <w:t xml:space="preserve"> жилищного строительства в </w:t>
      </w:r>
      <w:r w:rsidR="008534E9" w:rsidRPr="00A27928">
        <w:rPr>
          <w:b/>
        </w:rPr>
        <w:t>Забайкальском крае</w:t>
      </w:r>
    </w:p>
    <w:p w:rsidR="008C7D18" w:rsidRPr="00A27928" w:rsidRDefault="00CE5AA7" w:rsidP="008C7D18">
      <w:pPr>
        <w:jc w:val="center"/>
        <w:rPr>
          <w:b/>
        </w:rPr>
      </w:pPr>
      <w:r w:rsidRPr="00A27928">
        <w:rPr>
          <w:b/>
        </w:rPr>
        <w:t xml:space="preserve"> и срок</w:t>
      </w:r>
      <w:r w:rsidR="008534E9" w:rsidRPr="00A27928">
        <w:rPr>
          <w:b/>
        </w:rPr>
        <w:t>и</w:t>
      </w:r>
      <w:r w:rsidRPr="00A27928">
        <w:rPr>
          <w:b/>
        </w:rPr>
        <w:t xml:space="preserve"> их прохождения </w:t>
      </w:r>
    </w:p>
    <w:p w:rsidR="00CE5AA7" w:rsidRDefault="00CE5AA7" w:rsidP="00CE5AA7">
      <w:pPr>
        <w:jc w:val="both"/>
      </w:pPr>
    </w:p>
    <w:tbl>
      <w:tblPr>
        <w:tblStyle w:val="a6"/>
        <w:tblW w:w="10349" w:type="dxa"/>
        <w:tblInd w:w="-601" w:type="dxa"/>
        <w:tblLayout w:type="fixed"/>
        <w:tblLook w:val="04A0"/>
      </w:tblPr>
      <w:tblGrid>
        <w:gridCol w:w="678"/>
        <w:gridCol w:w="1701"/>
        <w:gridCol w:w="3433"/>
        <w:gridCol w:w="1559"/>
        <w:gridCol w:w="1560"/>
        <w:gridCol w:w="1418"/>
      </w:tblGrid>
      <w:tr w:rsidR="002644E7" w:rsidTr="002644E7">
        <w:trPr>
          <w:trHeight w:val="1409"/>
        </w:trPr>
        <w:tc>
          <w:tcPr>
            <w:tcW w:w="678" w:type="dxa"/>
          </w:tcPr>
          <w:p w:rsidR="002644E7" w:rsidRPr="00A27928" w:rsidRDefault="002644E7" w:rsidP="00CE5AA7">
            <w:pPr>
              <w:jc w:val="center"/>
              <w:rPr>
                <w:b/>
                <w:sz w:val="24"/>
                <w:szCs w:val="24"/>
              </w:rPr>
            </w:pPr>
            <w:r w:rsidRPr="00A27928">
              <w:rPr>
                <w:b/>
                <w:sz w:val="24"/>
                <w:szCs w:val="24"/>
              </w:rPr>
              <w:t>№</w:t>
            </w:r>
          </w:p>
          <w:p w:rsidR="002644E7" w:rsidRPr="00A27928" w:rsidRDefault="002644E7" w:rsidP="00CE5A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279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7928">
              <w:rPr>
                <w:b/>
                <w:sz w:val="24"/>
                <w:szCs w:val="24"/>
              </w:rPr>
              <w:t>/</w:t>
            </w:r>
            <w:proofErr w:type="spellStart"/>
            <w:r w:rsidRPr="00A279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4" w:type="dxa"/>
            <w:gridSpan w:val="2"/>
          </w:tcPr>
          <w:p w:rsidR="002644E7" w:rsidRPr="00A27928" w:rsidRDefault="002644E7" w:rsidP="00CE5AA7">
            <w:pPr>
              <w:jc w:val="center"/>
              <w:rPr>
                <w:b/>
                <w:sz w:val="24"/>
                <w:szCs w:val="24"/>
              </w:rPr>
            </w:pPr>
            <w:r w:rsidRPr="00A27928">
              <w:rPr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</w:tcPr>
          <w:p w:rsidR="00ED55CC" w:rsidRDefault="002644E7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  <w:p w:rsidR="002644E7" w:rsidRDefault="00ED55CC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ствии с </w:t>
            </w:r>
            <w:r w:rsidR="002644E7">
              <w:rPr>
                <w:b/>
                <w:sz w:val="24"/>
                <w:szCs w:val="24"/>
              </w:rPr>
              <w:t xml:space="preserve"> Целе</w:t>
            </w:r>
            <w:r>
              <w:rPr>
                <w:b/>
                <w:sz w:val="24"/>
                <w:szCs w:val="24"/>
              </w:rPr>
              <w:t>вой</w:t>
            </w:r>
            <w:r w:rsidR="002644E7">
              <w:rPr>
                <w:b/>
                <w:sz w:val="24"/>
                <w:szCs w:val="24"/>
              </w:rPr>
              <w:t xml:space="preserve"> модел</w:t>
            </w:r>
            <w:r>
              <w:rPr>
                <w:b/>
                <w:sz w:val="24"/>
                <w:szCs w:val="24"/>
              </w:rPr>
              <w:t>ью</w:t>
            </w:r>
          </w:p>
          <w:p w:rsidR="007F6D55" w:rsidRDefault="007F6D55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</w:t>
            </w:r>
          </w:p>
          <w:p w:rsidR="00ED55CC" w:rsidRPr="00ED55CC" w:rsidRDefault="00ED55CC" w:rsidP="00ED55CC">
            <w:pPr>
              <w:jc w:val="center"/>
              <w:rPr>
                <w:sz w:val="24"/>
                <w:szCs w:val="24"/>
              </w:rPr>
            </w:pPr>
            <w:r w:rsidRPr="00ED55CC">
              <w:rPr>
                <w:i/>
                <w:sz w:val="24"/>
                <w:szCs w:val="24"/>
              </w:rPr>
              <w:t>(рабочие дни)</w:t>
            </w:r>
          </w:p>
        </w:tc>
        <w:tc>
          <w:tcPr>
            <w:tcW w:w="1560" w:type="dxa"/>
          </w:tcPr>
          <w:p w:rsidR="00ED55CC" w:rsidRDefault="00F12E2F" w:rsidP="00A27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2644E7" w:rsidRPr="00A27928">
              <w:rPr>
                <w:b/>
                <w:sz w:val="24"/>
                <w:szCs w:val="24"/>
              </w:rPr>
              <w:t xml:space="preserve">рок </w:t>
            </w:r>
          </w:p>
          <w:p w:rsidR="002644E7" w:rsidRDefault="00F12E2F" w:rsidP="00A279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ствии с 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конод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тельством РФ</w:t>
            </w:r>
          </w:p>
          <w:p w:rsidR="002644E7" w:rsidRPr="00ED55CC" w:rsidRDefault="002644E7" w:rsidP="00A27928">
            <w:pPr>
              <w:jc w:val="center"/>
              <w:rPr>
                <w:i/>
                <w:sz w:val="24"/>
                <w:szCs w:val="24"/>
              </w:rPr>
            </w:pPr>
            <w:r w:rsidRPr="00ED55CC">
              <w:rPr>
                <w:i/>
                <w:sz w:val="24"/>
                <w:szCs w:val="24"/>
              </w:rPr>
              <w:t>(рабочие дни)</w:t>
            </w:r>
          </w:p>
        </w:tc>
        <w:tc>
          <w:tcPr>
            <w:tcW w:w="1418" w:type="dxa"/>
          </w:tcPr>
          <w:p w:rsidR="00ED55CC" w:rsidRDefault="00ED55CC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ED55CC" w:rsidRDefault="00ED55CC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2644E7" w:rsidRPr="00A27928">
              <w:rPr>
                <w:b/>
                <w:sz w:val="24"/>
                <w:szCs w:val="24"/>
              </w:rPr>
              <w:t>актич</w:t>
            </w:r>
            <w:r w:rsidR="002644E7" w:rsidRPr="00A27928">
              <w:rPr>
                <w:b/>
                <w:sz w:val="24"/>
                <w:szCs w:val="24"/>
              </w:rPr>
              <w:t>е</w:t>
            </w:r>
            <w:r w:rsidR="002644E7" w:rsidRPr="00A27928">
              <w:rPr>
                <w:b/>
                <w:sz w:val="24"/>
                <w:szCs w:val="24"/>
              </w:rPr>
              <w:t>ский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644E7" w:rsidRDefault="00ED55CC" w:rsidP="00ED5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г</w:t>
            </w:r>
          </w:p>
          <w:p w:rsidR="002644E7" w:rsidRPr="00ED55CC" w:rsidRDefault="002644E7" w:rsidP="00ED55CC">
            <w:pPr>
              <w:jc w:val="center"/>
              <w:rPr>
                <w:i/>
                <w:sz w:val="24"/>
                <w:szCs w:val="24"/>
              </w:rPr>
            </w:pPr>
            <w:r w:rsidRPr="00ED55CC">
              <w:rPr>
                <w:i/>
                <w:sz w:val="24"/>
                <w:szCs w:val="24"/>
              </w:rPr>
              <w:t>(рабочие дни)</w:t>
            </w:r>
          </w:p>
        </w:tc>
      </w:tr>
      <w:tr w:rsidR="002644E7" w:rsidTr="002644E7">
        <w:tc>
          <w:tcPr>
            <w:tcW w:w="678" w:type="dxa"/>
          </w:tcPr>
          <w:p w:rsidR="002644E7" w:rsidRPr="0020355B" w:rsidRDefault="002644E7" w:rsidP="00CE5A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44E7" w:rsidRPr="00A27928" w:rsidRDefault="002644E7" w:rsidP="00CE5AA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70" w:type="dxa"/>
            <w:gridSpan w:val="4"/>
          </w:tcPr>
          <w:p w:rsidR="002644E7" w:rsidRPr="00A27928" w:rsidRDefault="002644E7" w:rsidP="00CE5AA7">
            <w:pPr>
              <w:jc w:val="center"/>
              <w:rPr>
                <w:rFonts w:asciiTheme="minorHAnsi" w:hAnsiTheme="minorHAnsi"/>
                <w:b/>
              </w:rPr>
            </w:pPr>
            <w:r w:rsidRPr="00A27928">
              <w:rPr>
                <w:rFonts w:asciiTheme="minorHAnsi" w:hAnsiTheme="minorHAnsi"/>
                <w:b/>
              </w:rPr>
              <w:t>Обязательные (обычно происходящие) процедуры</w:t>
            </w:r>
          </w:p>
        </w:tc>
      </w:tr>
      <w:tr w:rsidR="002644E7" w:rsidTr="002644E7">
        <w:tc>
          <w:tcPr>
            <w:tcW w:w="678" w:type="dxa"/>
          </w:tcPr>
          <w:p w:rsidR="002644E7" w:rsidRPr="007536E7" w:rsidRDefault="002644E7" w:rsidP="00167C06">
            <w:pPr>
              <w:jc w:val="center"/>
            </w:pPr>
            <w:r w:rsidRPr="007536E7">
              <w:t>1.</w:t>
            </w:r>
          </w:p>
        </w:tc>
        <w:tc>
          <w:tcPr>
            <w:tcW w:w="5134" w:type="dxa"/>
            <w:gridSpan w:val="2"/>
          </w:tcPr>
          <w:p w:rsidR="002644E7" w:rsidRPr="002644E7" w:rsidRDefault="002644E7" w:rsidP="002F503E">
            <w:pPr>
              <w:jc w:val="both"/>
            </w:pPr>
            <w:r w:rsidRPr="0020355B">
              <w:t>Получение градостроительного плана земельного участка</w:t>
            </w:r>
            <w:r>
              <w:t xml:space="preserve"> 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(процедура может пр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о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водиться параллельно с процедурой по закл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ю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чению договоров тех. присоединения)</w:t>
            </w:r>
          </w:p>
        </w:tc>
        <w:tc>
          <w:tcPr>
            <w:tcW w:w="1559" w:type="dxa"/>
          </w:tcPr>
          <w:p w:rsidR="00ED55CC" w:rsidRDefault="00ED55CC" w:rsidP="00D5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2644E7" w:rsidRPr="00ED55CC" w:rsidRDefault="00ED55CC" w:rsidP="00D54FBB">
            <w:pPr>
              <w:jc w:val="center"/>
            </w:pPr>
            <w:r w:rsidRPr="00ED55CC">
              <w:t>20</w:t>
            </w:r>
          </w:p>
        </w:tc>
        <w:tc>
          <w:tcPr>
            <w:tcW w:w="1560" w:type="dxa"/>
          </w:tcPr>
          <w:p w:rsidR="002644E7" w:rsidRDefault="002644E7" w:rsidP="00D54FBB">
            <w:pPr>
              <w:jc w:val="center"/>
              <w:rPr>
                <w:sz w:val="20"/>
                <w:szCs w:val="20"/>
              </w:rPr>
            </w:pPr>
            <w:r w:rsidRPr="00CD659B">
              <w:rPr>
                <w:sz w:val="20"/>
                <w:szCs w:val="20"/>
              </w:rPr>
              <w:t xml:space="preserve">не более </w:t>
            </w:r>
          </w:p>
          <w:p w:rsidR="002644E7" w:rsidRPr="00137804" w:rsidRDefault="002644E7" w:rsidP="00D54FBB">
            <w:pPr>
              <w:jc w:val="center"/>
            </w:pPr>
            <w:r w:rsidRPr="00137804">
              <w:t xml:space="preserve">20 </w:t>
            </w:r>
          </w:p>
          <w:p w:rsidR="002644E7" w:rsidRPr="00D54FBB" w:rsidRDefault="002644E7" w:rsidP="00D54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44E7" w:rsidRDefault="002644E7" w:rsidP="00F80776">
            <w:pPr>
              <w:jc w:val="center"/>
            </w:pPr>
            <w:r w:rsidRPr="00A27928">
              <w:t>15</w:t>
            </w:r>
          </w:p>
          <w:p w:rsidR="002644E7" w:rsidRPr="00A27928" w:rsidRDefault="002644E7" w:rsidP="00D54FBB">
            <w:pPr>
              <w:jc w:val="center"/>
            </w:pPr>
          </w:p>
        </w:tc>
      </w:tr>
      <w:tr w:rsidR="002644E7" w:rsidTr="002644E7">
        <w:trPr>
          <w:trHeight w:val="1967"/>
        </w:trPr>
        <w:tc>
          <w:tcPr>
            <w:tcW w:w="678" w:type="dxa"/>
          </w:tcPr>
          <w:p w:rsidR="002644E7" w:rsidRPr="007536E7" w:rsidRDefault="002644E7" w:rsidP="00167C06">
            <w:pPr>
              <w:jc w:val="center"/>
            </w:pPr>
            <w:r w:rsidRPr="007536E7">
              <w:t>2.</w:t>
            </w:r>
          </w:p>
          <w:p w:rsidR="002644E7" w:rsidRPr="007536E7" w:rsidRDefault="002644E7" w:rsidP="00167C06">
            <w:pPr>
              <w:jc w:val="center"/>
            </w:pPr>
          </w:p>
        </w:tc>
        <w:tc>
          <w:tcPr>
            <w:tcW w:w="5134" w:type="dxa"/>
            <w:gridSpan w:val="2"/>
          </w:tcPr>
          <w:p w:rsidR="002644E7" w:rsidRDefault="002644E7" w:rsidP="00CE5AA7">
            <w:r w:rsidRPr="0020355B">
              <w:t>Заключение договоров подключения (технологического  присоединения)</w:t>
            </w:r>
            <w:r>
              <w:t xml:space="preserve"> к </w:t>
            </w:r>
            <w:r w:rsidRPr="008534E9">
              <w:t>сетям инженерно-технического  обесп</w:t>
            </w:r>
            <w:r w:rsidRPr="008534E9">
              <w:t>е</w:t>
            </w:r>
            <w:r w:rsidRPr="008534E9">
              <w:t>чения</w:t>
            </w:r>
            <w:r w:rsidRPr="00C311FE">
              <w:t xml:space="preserve"> включая получение  технических усло</w:t>
            </w:r>
            <w:r>
              <w:t xml:space="preserve">вий: </w:t>
            </w:r>
          </w:p>
          <w:p w:rsidR="002644E7" w:rsidRDefault="002644E7" w:rsidP="00CE5AA7">
            <w:r>
              <w:t>2.1. система теплоснабжения;</w:t>
            </w:r>
          </w:p>
          <w:p w:rsidR="002644E7" w:rsidRDefault="002644E7" w:rsidP="00CE5AA7">
            <w:r>
              <w:t>2.2. система холодного / горячего вод</w:t>
            </w:r>
            <w:r>
              <w:t>о</w:t>
            </w:r>
            <w:r>
              <w:t>снабжения;</w:t>
            </w:r>
          </w:p>
          <w:p w:rsidR="002644E7" w:rsidRDefault="002644E7" w:rsidP="00CE5AA7">
            <w:r>
              <w:t>2.3.</w:t>
            </w:r>
            <w:r w:rsidRPr="00C311FE">
              <w:t xml:space="preserve"> </w:t>
            </w:r>
            <w:r>
              <w:t xml:space="preserve">система </w:t>
            </w:r>
            <w:r w:rsidRPr="00C311FE">
              <w:t xml:space="preserve">водоотведения, </w:t>
            </w:r>
          </w:p>
          <w:p w:rsidR="002644E7" w:rsidRPr="00C311FE" w:rsidRDefault="002644E7" w:rsidP="00CE5AA7">
            <w:r>
              <w:t xml:space="preserve">2.4. </w:t>
            </w:r>
            <w:r w:rsidRPr="00C311FE">
              <w:t>электриче</w:t>
            </w:r>
            <w:r>
              <w:t>ские</w:t>
            </w:r>
            <w:r w:rsidRPr="00C311FE">
              <w:t xml:space="preserve"> сет</w:t>
            </w:r>
            <w:r>
              <w:t>и.</w:t>
            </w:r>
            <w:r w:rsidRPr="00C311FE">
              <w:t xml:space="preserve">  </w:t>
            </w:r>
          </w:p>
          <w:p w:rsidR="002644E7" w:rsidRPr="00647723" w:rsidRDefault="002644E7" w:rsidP="002644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 xml:space="preserve">параллельно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47723">
              <w:rPr>
                <w:rFonts w:asciiTheme="minorHAnsi" w:hAnsiTheme="minorHAnsi"/>
                <w:sz w:val="24"/>
                <w:szCs w:val="24"/>
              </w:rPr>
              <w:t>по каждому виду сетей)</w:t>
            </w:r>
          </w:p>
        </w:tc>
        <w:tc>
          <w:tcPr>
            <w:tcW w:w="1559" w:type="dxa"/>
          </w:tcPr>
          <w:p w:rsidR="002644E7" w:rsidRPr="00ED55CC" w:rsidRDefault="00ED55CC" w:rsidP="00D54FBB">
            <w:pPr>
              <w:jc w:val="center"/>
              <w:rPr>
                <w:sz w:val="20"/>
                <w:szCs w:val="20"/>
              </w:rPr>
            </w:pPr>
            <w:r w:rsidRPr="00ED55CC">
              <w:rPr>
                <w:sz w:val="20"/>
                <w:szCs w:val="20"/>
              </w:rPr>
              <w:t xml:space="preserve">не более </w:t>
            </w:r>
          </w:p>
          <w:p w:rsidR="00ED55CC" w:rsidRPr="003B10F6" w:rsidRDefault="00ED55CC" w:rsidP="00D54FBB">
            <w:pPr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2644E7" w:rsidRDefault="002644E7" w:rsidP="00D54FBB">
            <w:pPr>
              <w:jc w:val="center"/>
            </w:pPr>
            <w:r w:rsidRPr="003B10F6">
              <w:t>2</w:t>
            </w:r>
            <w:r>
              <w:t>0</w:t>
            </w:r>
            <w:r w:rsidRPr="003B10F6">
              <w:t xml:space="preserve"> </w:t>
            </w:r>
          </w:p>
          <w:p w:rsidR="002644E7" w:rsidRPr="003D3A2D" w:rsidRDefault="002644E7" w:rsidP="00D54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44E7" w:rsidRDefault="002644E7" w:rsidP="00CE5AA7">
            <w:pPr>
              <w:jc w:val="center"/>
            </w:pPr>
            <w:r w:rsidRPr="00A27928">
              <w:t xml:space="preserve"> </w:t>
            </w:r>
            <w:r>
              <w:t>2</w:t>
            </w:r>
            <w:r w:rsidR="008B0F64">
              <w:t>2</w:t>
            </w:r>
            <w:r w:rsidRPr="00A27928">
              <w:t xml:space="preserve"> </w:t>
            </w:r>
          </w:p>
          <w:p w:rsidR="002644E7" w:rsidRPr="00A27928" w:rsidRDefault="002644E7" w:rsidP="00CE5AA7">
            <w:pPr>
              <w:jc w:val="center"/>
            </w:pPr>
          </w:p>
          <w:p w:rsidR="002644E7" w:rsidRPr="00A27928" w:rsidRDefault="002644E7" w:rsidP="00CE5AA7">
            <w:pPr>
              <w:jc w:val="center"/>
            </w:pPr>
          </w:p>
        </w:tc>
      </w:tr>
      <w:tr w:rsidR="002644E7" w:rsidTr="002644E7">
        <w:tc>
          <w:tcPr>
            <w:tcW w:w="678" w:type="dxa"/>
          </w:tcPr>
          <w:p w:rsidR="002644E7" w:rsidRPr="007536E7" w:rsidRDefault="002644E7" w:rsidP="00167C06">
            <w:pPr>
              <w:jc w:val="center"/>
            </w:pPr>
            <w:r w:rsidRPr="007536E7">
              <w:t>3.</w:t>
            </w:r>
          </w:p>
        </w:tc>
        <w:tc>
          <w:tcPr>
            <w:tcW w:w="5134" w:type="dxa"/>
            <w:gridSpan w:val="2"/>
          </w:tcPr>
          <w:p w:rsidR="002644E7" w:rsidRPr="0020355B" w:rsidRDefault="002644E7" w:rsidP="00CE5AA7">
            <w:pPr>
              <w:jc w:val="both"/>
            </w:pPr>
            <w:r w:rsidRPr="0020355B">
              <w:t>Прохождение экспертизы проектной д</w:t>
            </w:r>
            <w:r w:rsidRPr="0020355B">
              <w:t>о</w:t>
            </w:r>
            <w:r w:rsidRPr="0020355B">
              <w:t>кументации и результатов инженерных изысканий</w:t>
            </w:r>
          </w:p>
        </w:tc>
        <w:tc>
          <w:tcPr>
            <w:tcW w:w="1559" w:type="dxa"/>
          </w:tcPr>
          <w:p w:rsidR="007F6D55" w:rsidRPr="00ED55CC" w:rsidRDefault="007F6D55" w:rsidP="00D54FBB">
            <w:pPr>
              <w:jc w:val="center"/>
              <w:rPr>
                <w:sz w:val="20"/>
                <w:szCs w:val="20"/>
              </w:rPr>
            </w:pPr>
            <w:r w:rsidRPr="00ED55CC">
              <w:rPr>
                <w:sz w:val="20"/>
                <w:szCs w:val="20"/>
              </w:rPr>
              <w:t>не более</w:t>
            </w:r>
          </w:p>
          <w:p w:rsidR="002644E7" w:rsidRPr="007F6D55" w:rsidRDefault="007F6D55" w:rsidP="00D54FBB">
            <w:pPr>
              <w:jc w:val="center"/>
            </w:pPr>
            <w:r w:rsidRPr="007F6D55">
              <w:t>22</w:t>
            </w:r>
          </w:p>
        </w:tc>
        <w:tc>
          <w:tcPr>
            <w:tcW w:w="1560" w:type="dxa"/>
          </w:tcPr>
          <w:p w:rsidR="002644E7" w:rsidRDefault="002644E7" w:rsidP="00D54FBB">
            <w:pPr>
              <w:jc w:val="center"/>
            </w:pPr>
            <w:r w:rsidRPr="00CD659B">
              <w:rPr>
                <w:sz w:val="20"/>
                <w:szCs w:val="20"/>
              </w:rPr>
              <w:t>не более</w:t>
            </w:r>
            <w:r>
              <w:t xml:space="preserve"> </w:t>
            </w:r>
          </w:p>
          <w:p w:rsidR="002644E7" w:rsidRDefault="002644E7" w:rsidP="00D54FBB">
            <w:pPr>
              <w:jc w:val="center"/>
            </w:pPr>
            <w:r w:rsidRPr="00A27928">
              <w:t xml:space="preserve">42 </w:t>
            </w:r>
          </w:p>
          <w:p w:rsidR="002644E7" w:rsidRDefault="002644E7" w:rsidP="002B797A">
            <w:pPr>
              <w:jc w:val="center"/>
              <w:rPr>
                <w:sz w:val="20"/>
                <w:szCs w:val="20"/>
              </w:rPr>
            </w:pPr>
            <w:r w:rsidRPr="00D54FBB">
              <w:rPr>
                <w:sz w:val="20"/>
                <w:szCs w:val="20"/>
              </w:rPr>
              <w:t>рабочих д</w:t>
            </w:r>
            <w:r>
              <w:rPr>
                <w:sz w:val="20"/>
                <w:szCs w:val="20"/>
              </w:rPr>
              <w:t xml:space="preserve">ней </w:t>
            </w:r>
          </w:p>
          <w:p w:rsidR="002644E7" w:rsidRPr="00A27928" w:rsidRDefault="002644E7" w:rsidP="002B797A">
            <w:pPr>
              <w:jc w:val="center"/>
            </w:pPr>
            <w:r>
              <w:rPr>
                <w:sz w:val="20"/>
                <w:szCs w:val="20"/>
              </w:rPr>
              <w:t>со дня посту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ления платы, (может быть продлен не более чем на 20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/дней по 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циативе заяв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418" w:type="dxa"/>
          </w:tcPr>
          <w:p w:rsidR="002644E7" w:rsidRDefault="002644E7" w:rsidP="00D54FBB">
            <w:pPr>
              <w:jc w:val="center"/>
            </w:pPr>
            <w:r w:rsidRPr="00A27928">
              <w:t xml:space="preserve"> </w:t>
            </w:r>
            <w:r>
              <w:t>4</w:t>
            </w:r>
            <w:r w:rsidRPr="00A27928">
              <w:t xml:space="preserve">2 </w:t>
            </w:r>
          </w:p>
          <w:p w:rsidR="002644E7" w:rsidRPr="00A27928" w:rsidRDefault="002644E7" w:rsidP="002E6580">
            <w:pPr>
              <w:jc w:val="center"/>
            </w:pPr>
          </w:p>
        </w:tc>
      </w:tr>
      <w:tr w:rsidR="002644E7" w:rsidTr="002644E7">
        <w:tc>
          <w:tcPr>
            <w:tcW w:w="678" w:type="dxa"/>
          </w:tcPr>
          <w:p w:rsidR="002644E7" w:rsidRPr="007536E7" w:rsidRDefault="002644E7" w:rsidP="00167C06">
            <w:pPr>
              <w:jc w:val="center"/>
            </w:pPr>
            <w:r w:rsidRPr="007536E7">
              <w:t>4.</w:t>
            </w:r>
          </w:p>
        </w:tc>
        <w:tc>
          <w:tcPr>
            <w:tcW w:w="5134" w:type="dxa"/>
            <w:gridSpan w:val="2"/>
          </w:tcPr>
          <w:p w:rsidR="002644E7" w:rsidRPr="0020355B" w:rsidRDefault="002644E7" w:rsidP="00CE5AA7">
            <w:pPr>
              <w:jc w:val="both"/>
            </w:pPr>
            <w:r w:rsidRPr="0020355B">
              <w:t>Получение разрешения на строительство</w:t>
            </w:r>
          </w:p>
        </w:tc>
        <w:tc>
          <w:tcPr>
            <w:tcW w:w="1559" w:type="dxa"/>
          </w:tcPr>
          <w:p w:rsidR="002644E7" w:rsidRDefault="002F4BA7" w:rsidP="00D5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2F4BA7" w:rsidRPr="002F4BA7" w:rsidRDefault="002F4BA7" w:rsidP="00D54FBB">
            <w:pPr>
              <w:jc w:val="center"/>
            </w:pPr>
            <w:r w:rsidRPr="002F4BA7">
              <w:t>5</w:t>
            </w:r>
          </w:p>
        </w:tc>
        <w:tc>
          <w:tcPr>
            <w:tcW w:w="1560" w:type="dxa"/>
          </w:tcPr>
          <w:p w:rsidR="002644E7" w:rsidRPr="00137804" w:rsidRDefault="002644E7" w:rsidP="00D54FBB">
            <w:pPr>
              <w:jc w:val="center"/>
              <w:rPr>
                <w:sz w:val="20"/>
                <w:szCs w:val="20"/>
              </w:rPr>
            </w:pPr>
            <w:r w:rsidRPr="00137804">
              <w:rPr>
                <w:sz w:val="20"/>
                <w:szCs w:val="20"/>
              </w:rPr>
              <w:t>не более</w:t>
            </w:r>
          </w:p>
          <w:p w:rsidR="002644E7" w:rsidRPr="00A27928" w:rsidRDefault="002644E7" w:rsidP="003D3A2D">
            <w:pPr>
              <w:jc w:val="center"/>
            </w:pPr>
            <w:r w:rsidRPr="00A27928">
              <w:t>7</w:t>
            </w:r>
            <w:r w:rsidRPr="00D54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644E7" w:rsidRPr="00A27928" w:rsidRDefault="002644E7" w:rsidP="003D3A2D">
            <w:pPr>
              <w:jc w:val="center"/>
            </w:pPr>
            <w:r w:rsidRPr="00A27928">
              <w:t xml:space="preserve"> 5 </w:t>
            </w:r>
          </w:p>
        </w:tc>
      </w:tr>
      <w:tr w:rsidR="002644E7" w:rsidTr="002644E7">
        <w:tc>
          <w:tcPr>
            <w:tcW w:w="5812" w:type="dxa"/>
            <w:gridSpan w:val="3"/>
          </w:tcPr>
          <w:p w:rsidR="002644E7" w:rsidRPr="00F80776" w:rsidRDefault="002644E7" w:rsidP="00647723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DE5278">
              <w:rPr>
                <w:rFonts w:asciiTheme="minorHAnsi" w:hAnsiTheme="minorHAnsi"/>
                <w:b/>
                <w:sz w:val="24"/>
                <w:szCs w:val="24"/>
              </w:rPr>
              <w:t xml:space="preserve">СРОК ПРОХОЖДЕНИЯ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ОБЯЗАТЕЛЬНЫХ </w:t>
            </w:r>
            <w:r w:rsidRPr="00DE5278">
              <w:rPr>
                <w:rFonts w:asciiTheme="minorHAnsi" w:hAnsiTheme="minorHAnsi"/>
                <w:b/>
                <w:sz w:val="24"/>
                <w:szCs w:val="24"/>
              </w:rPr>
              <w:t>ПРОЦЕДУР ДЛЯ ПОЛУЧЕНИЯ РАЗРЕШЕНИЯ НА СТРОИТЕЛЬСТВО</w:t>
            </w:r>
          </w:p>
        </w:tc>
        <w:tc>
          <w:tcPr>
            <w:tcW w:w="1559" w:type="dxa"/>
          </w:tcPr>
          <w:p w:rsidR="002644E7" w:rsidRDefault="002F4BA7" w:rsidP="002B5F73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560" w:type="dxa"/>
          </w:tcPr>
          <w:p w:rsidR="002644E7" w:rsidRPr="00A27928" w:rsidRDefault="002644E7" w:rsidP="002B5F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27928">
              <w:rPr>
                <w:b/>
              </w:rPr>
              <w:t xml:space="preserve">9 </w:t>
            </w:r>
          </w:p>
        </w:tc>
        <w:tc>
          <w:tcPr>
            <w:tcW w:w="1418" w:type="dxa"/>
          </w:tcPr>
          <w:p w:rsidR="002644E7" w:rsidRDefault="002644E7" w:rsidP="00C62F9D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="008B0F6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:rsidR="002644E7" w:rsidRPr="00A27928" w:rsidRDefault="002644E7" w:rsidP="00C62F9D">
            <w:pPr>
              <w:jc w:val="center"/>
              <w:rPr>
                <w:b/>
              </w:rPr>
            </w:pPr>
          </w:p>
        </w:tc>
      </w:tr>
      <w:tr w:rsidR="002644E7" w:rsidTr="002644E7">
        <w:tc>
          <w:tcPr>
            <w:tcW w:w="5812" w:type="dxa"/>
            <w:gridSpan w:val="3"/>
          </w:tcPr>
          <w:p w:rsidR="002644E7" w:rsidRPr="00F80776" w:rsidRDefault="002644E7" w:rsidP="00805596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DE5278">
              <w:rPr>
                <w:rFonts w:asciiTheme="minorHAnsi" w:hAnsiTheme="minorHAnsi"/>
                <w:b/>
                <w:sz w:val="24"/>
                <w:szCs w:val="24"/>
              </w:rPr>
              <w:t xml:space="preserve">СРОК ПРОХОЖДЕНИЯ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ОБЯЗАТЕЛЬНЫХ </w:t>
            </w:r>
            <w:r w:rsidRPr="00DE5278">
              <w:rPr>
                <w:rFonts w:asciiTheme="minorHAnsi" w:hAnsiTheme="minorHAnsi"/>
                <w:b/>
                <w:sz w:val="24"/>
                <w:szCs w:val="24"/>
              </w:rPr>
              <w:t>ПРОЦЕДУР ДЛЯ ПОЛУЧЕНИЯ РАЗРЕШЕНИЯ НА СТРОИТЕЛЬСТВО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80776">
              <w:rPr>
                <w:rFonts w:asciiTheme="minorHAnsi" w:hAnsiTheme="minorHAnsi"/>
                <w:sz w:val="24"/>
                <w:szCs w:val="24"/>
              </w:rPr>
              <w:t>с учетом параллельного прохождения процедур по в</w:t>
            </w:r>
            <w:r w:rsidRPr="00F80776">
              <w:rPr>
                <w:rFonts w:asciiTheme="minorHAnsi" w:hAnsiTheme="minorHAnsi"/>
                <w:sz w:val="24"/>
                <w:szCs w:val="24"/>
              </w:rPr>
              <w:t>ы</w:t>
            </w:r>
            <w:r w:rsidRPr="00F80776">
              <w:rPr>
                <w:rFonts w:asciiTheme="minorHAnsi" w:hAnsiTheme="minorHAnsi"/>
                <w:sz w:val="24"/>
                <w:szCs w:val="24"/>
              </w:rPr>
              <w:t>даче ГПЗУ и заключению договоров тех. присоедин</w:t>
            </w:r>
            <w:r w:rsidRPr="00F80776">
              <w:rPr>
                <w:rFonts w:asciiTheme="minorHAnsi" w:hAnsiTheme="minorHAnsi"/>
                <w:sz w:val="24"/>
                <w:szCs w:val="24"/>
              </w:rPr>
              <w:t>е</w:t>
            </w:r>
            <w:r w:rsidRPr="00F80776">
              <w:rPr>
                <w:rFonts w:asciiTheme="minorHAnsi" w:hAnsiTheme="minorHAnsi"/>
                <w:sz w:val="24"/>
                <w:szCs w:val="24"/>
              </w:rPr>
              <w:t>ния)</w:t>
            </w:r>
            <w:proofErr w:type="gramEnd"/>
          </w:p>
        </w:tc>
        <w:tc>
          <w:tcPr>
            <w:tcW w:w="1559" w:type="dxa"/>
          </w:tcPr>
          <w:p w:rsidR="002644E7" w:rsidRDefault="002F4BA7" w:rsidP="00F8077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560" w:type="dxa"/>
          </w:tcPr>
          <w:p w:rsidR="002644E7" w:rsidRPr="00A27928" w:rsidRDefault="002644E7" w:rsidP="00F80776">
            <w:pPr>
              <w:jc w:val="center"/>
              <w:rPr>
                <w:b/>
              </w:rPr>
            </w:pPr>
            <w:r>
              <w:rPr>
                <w:b/>
              </w:rPr>
              <w:t xml:space="preserve">69 </w:t>
            </w:r>
          </w:p>
        </w:tc>
        <w:tc>
          <w:tcPr>
            <w:tcW w:w="1418" w:type="dxa"/>
          </w:tcPr>
          <w:p w:rsidR="002644E7" w:rsidRDefault="002644E7" w:rsidP="00C92DA6">
            <w:pPr>
              <w:jc w:val="center"/>
              <w:rPr>
                <w:b/>
              </w:rPr>
            </w:pPr>
            <w:r w:rsidRPr="00A27928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8B0F64">
              <w:rPr>
                <w:b/>
              </w:rPr>
              <w:t>9</w:t>
            </w:r>
          </w:p>
          <w:p w:rsidR="002644E7" w:rsidRPr="00A27928" w:rsidRDefault="002644E7" w:rsidP="00C92DA6">
            <w:pPr>
              <w:jc w:val="center"/>
              <w:rPr>
                <w:b/>
              </w:rPr>
            </w:pPr>
          </w:p>
          <w:p w:rsidR="002644E7" w:rsidRPr="00A27928" w:rsidRDefault="002644E7" w:rsidP="00C92DA6">
            <w:pPr>
              <w:jc w:val="center"/>
              <w:rPr>
                <w:b/>
              </w:rPr>
            </w:pPr>
          </w:p>
        </w:tc>
      </w:tr>
    </w:tbl>
    <w:p w:rsidR="00F050CD" w:rsidRDefault="00F050CD" w:rsidP="009D1484">
      <w:pPr>
        <w:jc w:val="both"/>
        <w:rPr>
          <w:b/>
        </w:rPr>
      </w:pPr>
    </w:p>
    <w:p w:rsidR="00F050CD" w:rsidRDefault="00F050CD" w:rsidP="00F050CD">
      <w:pPr>
        <w:ind w:left="-709" w:firstLine="567"/>
        <w:jc w:val="center"/>
        <w:rPr>
          <w:b/>
        </w:rPr>
      </w:pPr>
      <w:r>
        <w:rPr>
          <w:b/>
        </w:rPr>
        <w:lastRenderedPageBreak/>
        <w:t>Характеристик</w:t>
      </w:r>
      <w:r w:rsidR="00903D19">
        <w:rPr>
          <w:b/>
        </w:rPr>
        <w:t>а</w:t>
      </w:r>
      <w:r>
        <w:rPr>
          <w:b/>
        </w:rPr>
        <w:t xml:space="preserve"> «модельного объекта», предусмотренн</w:t>
      </w:r>
      <w:r w:rsidR="00903D19">
        <w:rPr>
          <w:b/>
        </w:rPr>
        <w:t>ого</w:t>
      </w:r>
      <w:r>
        <w:rPr>
          <w:b/>
        </w:rPr>
        <w:t xml:space="preserve"> </w:t>
      </w:r>
    </w:p>
    <w:p w:rsidR="00F050CD" w:rsidRDefault="00F050CD" w:rsidP="00F050CD">
      <w:pPr>
        <w:ind w:left="-709" w:firstLine="567"/>
        <w:jc w:val="center"/>
        <w:rPr>
          <w:b/>
        </w:rPr>
      </w:pPr>
      <w:r>
        <w:rPr>
          <w:b/>
        </w:rPr>
        <w:t xml:space="preserve">описанием  целевой модели «Получение разрешения  на строительство и территориальное планирование», утвержденной распоряжением </w:t>
      </w:r>
    </w:p>
    <w:p w:rsidR="00F050CD" w:rsidRDefault="00F050CD" w:rsidP="00F050CD">
      <w:pPr>
        <w:ind w:left="-709" w:firstLine="567"/>
        <w:jc w:val="center"/>
        <w:rPr>
          <w:b/>
        </w:rPr>
      </w:pPr>
      <w:r>
        <w:rPr>
          <w:b/>
        </w:rPr>
        <w:t>Правительства Российской Федерации от 31.01.29017 г № 147-р: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многоквартирный жилой дом выше 4 и ниже 14 этажей, общей площадью не менее 1000 и не более 10000 кв. метров, с высотой этажа, не превышающей 3,5 метра, имеющий не более одного подземного этажа;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осуществляется подключение (технологическое присоединение) многоква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тирного жилого дома к сетям инженерно-технического обеспечения (водоснабж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водоотведения, газоснабжения, теплоснабжения) и электрическим сетям. Не требуется подключение по индивидуальному тарифу. Не требуется реконструкция генерирующих мощностей или передающих сетей, протяженность строящихся сетей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превышает 100 метров и строительство сетей не влечет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споров о возможности прохождения трасс;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земельный участок, предоставленный для строительства многоквартирного жилого дома: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соответствует требованиям размещенных в федеральной государственной информационной системе территориального планирования генерального плана поселения, генерального плана городского округа в части установленных в нем границ и характеристик функциональных зон, правилам землепользования и застройки, а также обеспечен коммунальной, транспортной и социальной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структурой в соответствии с утвержденными на основании генерального плана поселения, генерального плана городского округа программой комплексного развития систем коммунальной инфраструктуры поселения,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округа, программой комплексного развития транспортной инфраструктуры поселения, городского округа, программой комплексного развития социальной инфраструкт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поселения, городского округа и имеет соответствующий вид разрешенного использования, границы земельного участка определены, проект планировки территории не требуется (требуется получение градостроительного плана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участка);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требованиям генерального плана поселения, генерального плана городского округа, правил землепользования и застройки, имеет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вующий вид разрешенного использования, границы земельного участка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ны, проект планировки территории не требуется;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в черте населенного пункта, входящего в одно из пяти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образований с наибольшей градостроительной активностью в регионе, и имеет подъездную дорогу;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пределами охранных зон, особо охраняемых природных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риторий, зон охраны объектов культурного наследия (памятников истории и культуры);</w:t>
      </w:r>
    </w:p>
    <w:p w:rsidR="00F050CD" w:rsidRDefault="00F050CD" w:rsidP="00F050CD">
      <w:pPr>
        <w:pStyle w:val="ConsPlusNormal"/>
        <w:spacing w:before="220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застройщик имеет надлежащим образом оформленные права на земельный участок на весь период строительства (собственность или аренда), не испытывает затруднений с финансированием проекта, влияющих на сроки его выполнения.</w:t>
      </w:r>
    </w:p>
    <w:p w:rsidR="00F050CD" w:rsidRDefault="00F050CD" w:rsidP="00F050CD">
      <w:pPr>
        <w:ind w:left="-142"/>
      </w:pPr>
    </w:p>
    <w:p w:rsidR="00F050CD" w:rsidRDefault="00F050CD" w:rsidP="00F050CD">
      <w:pPr>
        <w:ind w:left="-142"/>
      </w:pPr>
    </w:p>
    <w:p w:rsidR="00F050CD" w:rsidRDefault="00F050CD" w:rsidP="00F050CD">
      <w:pPr>
        <w:ind w:left="-142"/>
        <w:jc w:val="center"/>
        <w:rPr>
          <w:b/>
        </w:rPr>
      </w:pPr>
      <w:r>
        <w:rPr>
          <w:b/>
        </w:rPr>
        <w:lastRenderedPageBreak/>
        <w:t xml:space="preserve">Стоимость получения разрешений на строительство </w:t>
      </w:r>
    </w:p>
    <w:p w:rsidR="00F050CD" w:rsidRDefault="00F050CD" w:rsidP="00F050CD">
      <w:pPr>
        <w:ind w:left="-142"/>
        <w:jc w:val="both"/>
      </w:pPr>
      <w:r>
        <w:t xml:space="preserve"> Бесплатно.</w:t>
      </w:r>
    </w:p>
    <w:p w:rsidR="00F050CD" w:rsidRDefault="00F050CD" w:rsidP="00F050CD">
      <w:pPr>
        <w:jc w:val="both"/>
        <w:rPr>
          <w:b/>
        </w:rPr>
      </w:pPr>
    </w:p>
    <w:p w:rsidR="00F050CD" w:rsidRDefault="00F050CD" w:rsidP="00F050CD">
      <w:pPr>
        <w:ind w:left="-709" w:firstLine="567"/>
        <w:jc w:val="center"/>
        <w:rPr>
          <w:b/>
        </w:rPr>
      </w:pPr>
      <w:r>
        <w:rPr>
          <w:b/>
        </w:rPr>
        <w:t xml:space="preserve"> Время получения разрешений на строительство</w:t>
      </w:r>
    </w:p>
    <w:p w:rsidR="00F050CD" w:rsidRDefault="00F050CD" w:rsidP="00F050CD">
      <w:pPr>
        <w:ind w:left="-709" w:firstLine="567"/>
        <w:jc w:val="both"/>
      </w:pPr>
      <w:r>
        <w:t xml:space="preserve"> Для респондента – количество рабочих  дней </w:t>
      </w:r>
      <w:r>
        <w:rPr>
          <w:u w:val="single"/>
        </w:rPr>
        <w:t>от запроса на получение град</w:t>
      </w:r>
      <w:r>
        <w:rPr>
          <w:u w:val="single"/>
        </w:rPr>
        <w:t>о</w:t>
      </w:r>
      <w:r>
        <w:rPr>
          <w:u w:val="single"/>
        </w:rPr>
        <w:t>строительного плана  земельного участка  до получения  разрешения на строител</w:t>
      </w:r>
      <w:r>
        <w:rPr>
          <w:u w:val="single"/>
        </w:rPr>
        <w:t>ь</w:t>
      </w:r>
      <w:r>
        <w:rPr>
          <w:u w:val="single"/>
        </w:rPr>
        <w:t>ство</w:t>
      </w:r>
      <w:r>
        <w:t>, исключая время ожидания по инициативе  заявителя и/или из-за непредста</w:t>
      </w:r>
      <w:r>
        <w:t>в</w:t>
      </w:r>
      <w:r>
        <w:t xml:space="preserve">ления полного пакета документов, необходимых для проведения процедуры. </w:t>
      </w:r>
    </w:p>
    <w:p w:rsidR="00F050CD" w:rsidRDefault="00F050CD" w:rsidP="00F050CD">
      <w:pPr>
        <w:ind w:left="-709"/>
        <w:jc w:val="both"/>
      </w:pPr>
    </w:p>
    <w:p w:rsidR="00F050CD" w:rsidRDefault="00F050CD" w:rsidP="00F050CD">
      <w:pPr>
        <w:ind w:left="-709" w:firstLine="567"/>
        <w:jc w:val="center"/>
        <w:rPr>
          <w:b/>
        </w:rPr>
      </w:pPr>
      <w:r>
        <w:rPr>
          <w:b/>
        </w:rPr>
        <w:t xml:space="preserve"> Общее количество  процедур для получения разрешений </w:t>
      </w:r>
    </w:p>
    <w:p w:rsidR="00F050CD" w:rsidRDefault="00F050CD" w:rsidP="00F050CD">
      <w:pPr>
        <w:ind w:left="-709" w:firstLine="567"/>
        <w:jc w:val="center"/>
      </w:pPr>
      <w:r>
        <w:rPr>
          <w:b/>
        </w:rPr>
        <w:t>на строительство</w:t>
      </w:r>
    </w:p>
    <w:p w:rsidR="00F050CD" w:rsidRDefault="00F050CD" w:rsidP="00F050CD">
      <w:pPr>
        <w:ind w:left="-709" w:firstLine="567"/>
        <w:jc w:val="both"/>
      </w:pPr>
      <w:r>
        <w:t>Количество обязательных  (обычно происходящих) процедур с целью получ</w:t>
      </w:r>
      <w:r>
        <w:t>е</w:t>
      </w:r>
      <w:r>
        <w:t xml:space="preserve">ния разрешения на строительство  </w:t>
      </w:r>
      <w:r>
        <w:rPr>
          <w:u w:val="single"/>
        </w:rPr>
        <w:t>от запроса на получение градостроительного плана  земельного участка  до получения  разрешения на строительство.</w:t>
      </w:r>
    </w:p>
    <w:p w:rsidR="00F050CD" w:rsidRDefault="00F050CD" w:rsidP="00F050CD">
      <w:pPr>
        <w:ind w:left="-709"/>
        <w:jc w:val="both"/>
      </w:pPr>
    </w:p>
    <w:p w:rsidR="00F050CD" w:rsidRDefault="00F050CD" w:rsidP="00F050CD">
      <w:pPr>
        <w:ind w:left="-709" w:firstLine="567"/>
        <w:jc w:val="both"/>
      </w:pPr>
      <w:r>
        <w:t xml:space="preserve">Процедурой считается  любое взаимодействие  хозяйствующего субъекта с внешними контрагентами, включая ораны государственной (муниципальной) власти с целью получения  документа, разрешения, заключения и иного результата, необходимого для законного функционирования  бизнеса субъекта. </w:t>
      </w:r>
    </w:p>
    <w:p w:rsidR="00F050CD" w:rsidRPr="00F050CD" w:rsidRDefault="00F050CD" w:rsidP="00E4269A">
      <w:pPr>
        <w:ind w:left="-709" w:firstLine="567"/>
        <w:jc w:val="both"/>
        <w:rPr>
          <w:b/>
        </w:rPr>
      </w:pPr>
    </w:p>
    <w:sectPr w:rsidR="00F050CD" w:rsidRPr="00F050CD" w:rsidSect="006369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869"/>
    <w:rsid w:val="0000683E"/>
    <w:rsid w:val="000118B9"/>
    <w:rsid w:val="0003151D"/>
    <w:rsid w:val="00031800"/>
    <w:rsid w:val="00051456"/>
    <w:rsid w:val="00065235"/>
    <w:rsid w:val="00077699"/>
    <w:rsid w:val="000827CC"/>
    <w:rsid w:val="0009406C"/>
    <w:rsid w:val="00097B7C"/>
    <w:rsid w:val="000B4B16"/>
    <w:rsid w:val="000C16A5"/>
    <w:rsid w:val="000C6C3E"/>
    <w:rsid w:val="000C7346"/>
    <w:rsid w:val="000D203C"/>
    <w:rsid w:val="000D4A2A"/>
    <w:rsid w:val="000E4E42"/>
    <w:rsid w:val="000F1FE7"/>
    <w:rsid w:val="00110F68"/>
    <w:rsid w:val="00113EE5"/>
    <w:rsid w:val="00123EFD"/>
    <w:rsid w:val="0012482C"/>
    <w:rsid w:val="00127642"/>
    <w:rsid w:val="00132229"/>
    <w:rsid w:val="00137804"/>
    <w:rsid w:val="001378D5"/>
    <w:rsid w:val="00137F8F"/>
    <w:rsid w:val="001454CA"/>
    <w:rsid w:val="001544F1"/>
    <w:rsid w:val="00155D51"/>
    <w:rsid w:val="00157EE0"/>
    <w:rsid w:val="001602E6"/>
    <w:rsid w:val="00165B93"/>
    <w:rsid w:val="00167C06"/>
    <w:rsid w:val="001743C0"/>
    <w:rsid w:val="001A17BE"/>
    <w:rsid w:val="001D368C"/>
    <w:rsid w:val="001E23DC"/>
    <w:rsid w:val="001E6B60"/>
    <w:rsid w:val="0020355B"/>
    <w:rsid w:val="00220E4B"/>
    <w:rsid w:val="002239FB"/>
    <w:rsid w:val="002329DC"/>
    <w:rsid w:val="00253FC4"/>
    <w:rsid w:val="002549ED"/>
    <w:rsid w:val="002644E7"/>
    <w:rsid w:val="002645FF"/>
    <w:rsid w:val="002720A8"/>
    <w:rsid w:val="00272B9E"/>
    <w:rsid w:val="0027620C"/>
    <w:rsid w:val="00292B60"/>
    <w:rsid w:val="00296DBA"/>
    <w:rsid w:val="002A3522"/>
    <w:rsid w:val="002B5F73"/>
    <w:rsid w:val="002B797A"/>
    <w:rsid w:val="002C0CEA"/>
    <w:rsid w:val="002D34C9"/>
    <w:rsid w:val="002D3567"/>
    <w:rsid w:val="002E4385"/>
    <w:rsid w:val="002E6580"/>
    <w:rsid w:val="002F2328"/>
    <w:rsid w:val="002F356E"/>
    <w:rsid w:val="002F4BA7"/>
    <w:rsid w:val="002F4FD3"/>
    <w:rsid w:val="002F503E"/>
    <w:rsid w:val="003014A4"/>
    <w:rsid w:val="0032218A"/>
    <w:rsid w:val="003224B0"/>
    <w:rsid w:val="00333916"/>
    <w:rsid w:val="0034167E"/>
    <w:rsid w:val="00346C16"/>
    <w:rsid w:val="00360254"/>
    <w:rsid w:val="00364A9B"/>
    <w:rsid w:val="003663CF"/>
    <w:rsid w:val="00372D02"/>
    <w:rsid w:val="003871E5"/>
    <w:rsid w:val="00393DC3"/>
    <w:rsid w:val="00394756"/>
    <w:rsid w:val="003975ED"/>
    <w:rsid w:val="003A13A5"/>
    <w:rsid w:val="003A4065"/>
    <w:rsid w:val="003A7AD1"/>
    <w:rsid w:val="003B0CE7"/>
    <w:rsid w:val="003B10F6"/>
    <w:rsid w:val="003C0461"/>
    <w:rsid w:val="003C4332"/>
    <w:rsid w:val="003D3A2D"/>
    <w:rsid w:val="003D3A84"/>
    <w:rsid w:val="003D5E09"/>
    <w:rsid w:val="00401042"/>
    <w:rsid w:val="00402FC5"/>
    <w:rsid w:val="00405869"/>
    <w:rsid w:val="004175B6"/>
    <w:rsid w:val="004228DA"/>
    <w:rsid w:val="00423DE8"/>
    <w:rsid w:val="00430902"/>
    <w:rsid w:val="004360E7"/>
    <w:rsid w:val="00442D7B"/>
    <w:rsid w:val="004466C0"/>
    <w:rsid w:val="00461F37"/>
    <w:rsid w:val="00473A60"/>
    <w:rsid w:val="00477490"/>
    <w:rsid w:val="004834C5"/>
    <w:rsid w:val="004900FC"/>
    <w:rsid w:val="004932A3"/>
    <w:rsid w:val="00496941"/>
    <w:rsid w:val="004A276A"/>
    <w:rsid w:val="004A2B01"/>
    <w:rsid w:val="004A5DE5"/>
    <w:rsid w:val="004B2CB0"/>
    <w:rsid w:val="004B40B2"/>
    <w:rsid w:val="004C240C"/>
    <w:rsid w:val="004C4E43"/>
    <w:rsid w:val="004C74EB"/>
    <w:rsid w:val="004C7696"/>
    <w:rsid w:val="004D58A6"/>
    <w:rsid w:val="004E09B5"/>
    <w:rsid w:val="004F1D93"/>
    <w:rsid w:val="00510D84"/>
    <w:rsid w:val="00510DBE"/>
    <w:rsid w:val="00511079"/>
    <w:rsid w:val="0051147E"/>
    <w:rsid w:val="00532D6D"/>
    <w:rsid w:val="0053442E"/>
    <w:rsid w:val="005345FD"/>
    <w:rsid w:val="0054448D"/>
    <w:rsid w:val="00547014"/>
    <w:rsid w:val="00565C45"/>
    <w:rsid w:val="0057641C"/>
    <w:rsid w:val="00577331"/>
    <w:rsid w:val="00592628"/>
    <w:rsid w:val="00595660"/>
    <w:rsid w:val="005A2FE7"/>
    <w:rsid w:val="005B530A"/>
    <w:rsid w:val="005C32F7"/>
    <w:rsid w:val="005C4AC4"/>
    <w:rsid w:val="005C6E4D"/>
    <w:rsid w:val="005C7BD6"/>
    <w:rsid w:val="005D33B8"/>
    <w:rsid w:val="005D3A0D"/>
    <w:rsid w:val="005D7846"/>
    <w:rsid w:val="005E2251"/>
    <w:rsid w:val="005F6C84"/>
    <w:rsid w:val="00600233"/>
    <w:rsid w:val="006020CE"/>
    <w:rsid w:val="00605E42"/>
    <w:rsid w:val="006063B2"/>
    <w:rsid w:val="006069E3"/>
    <w:rsid w:val="006266DF"/>
    <w:rsid w:val="00636931"/>
    <w:rsid w:val="00637E36"/>
    <w:rsid w:val="00647723"/>
    <w:rsid w:val="00651A9C"/>
    <w:rsid w:val="00651D31"/>
    <w:rsid w:val="00663792"/>
    <w:rsid w:val="00667F6E"/>
    <w:rsid w:val="006719F1"/>
    <w:rsid w:val="00674624"/>
    <w:rsid w:val="00691828"/>
    <w:rsid w:val="00696623"/>
    <w:rsid w:val="006A2F38"/>
    <w:rsid w:val="006A36B4"/>
    <w:rsid w:val="006B38FF"/>
    <w:rsid w:val="006B6FBF"/>
    <w:rsid w:val="006C1417"/>
    <w:rsid w:val="006C38D2"/>
    <w:rsid w:val="006D3286"/>
    <w:rsid w:val="006D3CC0"/>
    <w:rsid w:val="006D783F"/>
    <w:rsid w:val="006E7085"/>
    <w:rsid w:val="006F3CD5"/>
    <w:rsid w:val="00703933"/>
    <w:rsid w:val="00707F03"/>
    <w:rsid w:val="00714A26"/>
    <w:rsid w:val="00714C98"/>
    <w:rsid w:val="00721A7A"/>
    <w:rsid w:val="00727650"/>
    <w:rsid w:val="007368FB"/>
    <w:rsid w:val="007536E7"/>
    <w:rsid w:val="0077679F"/>
    <w:rsid w:val="007837BF"/>
    <w:rsid w:val="0078515E"/>
    <w:rsid w:val="007A7475"/>
    <w:rsid w:val="007B699B"/>
    <w:rsid w:val="007C3DD5"/>
    <w:rsid w:val="007D1992"/>
    <w:rsid w:val="007D1A64"/>
    <w:rsid w:val="007D1E3D"/>
    <w:rsid w:val="007E5935"/>
    <w:rsid w:val="007E7586"/>
    <w:rsid w:val="007F096F"/>
    <w:rsid w:val="007F0EB0"/>
    <w:rsid w:val="007F6D55"/>
    <w:rsid w:val="008003D2"/>
    <w:rsid w:val="00803951"/>
    <w:rsid w:val="00805596"/>
    <w:rsid w:val="0080704D"/>
    <w:rsid w:val="00807DCB"/>
    <w:rsid w:val="00835537"/>
    <w:rsid w:val="00836AF9"/>
    <w:rsid w:val="008534E9"/>
    <w:rsid w:val="00854B25"/>
    <w:rsid w:val="0085784D"/>
    <w:rsid w:val="00864A0C"/>
    <w:rsid w:val="00872057"/>
    <w:rsid w:val="00890F22"/>
    <w:rsid w:val="008929DD"/>
    <w:rsid w:val="00892E55"/>
    <w:rsid w:val="008B0F64"/>
    <w:rsid w:val="008B3195"/>
    <w:rsid w:val="008C0289"/>
    <w:rsid w:val="008C3B1F"/>
    <w:rsid w:val="008C7D18"/>
    <w:rsid w:val="008D5E18"/>
    <w:rsid w:val="008E5A8C"/>
    <w:rsid w:val="00903D19"/>
    <w:rsid w:val="00912444"/>
    <w:rsid w:val="00920567"/>
    <w:rsid w:val="00926B72"/>
    <w:rsid w:val="0093374E"/>
    <w:rsid w:val="0094395B"/>
    <w:rsid w:val="00945365"/>
    <w:rsid w:val="00962FD9"/>
    <w:rsid w:val="00964C4D"/>
    <w:rsid w:val="00976A24"/>
    <w:rsid w:val="0098061D"/>
    <w:rsid w:val="009947A6"/>
    <w:rsid w:val="00996748"/>
    <w:rsid w:val="009A1741"/>
    <w:rsid w:val="009B0C9C"/>
    <w:rsid w:val="009B22D5"/>
    <w:rsid w:val="009D1484"/>
    <w:rsid w:val="009D4DCD"/>
    <w:rsid w:val="009D61B9"/>
    <w:rsid w:val="009E6030"/>
    <w:rsid w:val="009E62DF"/>
    <w:rsid w:val="009E7CA2"/>
    <w:rsid w:val="009F1C97"/>
    <w:rsid w:val="009F5974"/>
    <w:rsid w:val="009F5E26"/>
    <w:rsid w:val="00A01F8B"/>
    <w:rsid w:val="00A03A94"/>
    <w:rsid w:val="00A12372"/>
    <w:rsid w:val="00A17339"/>
    <w:rsid w:val="00A21344"/>
    <w:rsid w:val="00A27928"/>
    <w:rsid w:val="00A6114C"/>
    <w:rsid w:val="00A67564"/>
    <w:rsid w:val="00A67C63"/>
    <w:rsid w:val="00A71EDE"/>
    <w:rsid w:val="00A86763"/>
    <w:rsid w:val="00AA1D34"/>
    <w:rsid w:val="00AB3EEC"/>
    <w:rsid w:val="00AB49C9"/>
    <w:rsid w:val="00AC27C9"/>
    <w:rsid w:val="00AC31BB"/>
    <w:rsid w:val="00AC4782"/>
    <w:rsid w:val="00AD5F50"/>
    <w:rsid w:val="00AE3C31"/>
    <w:rsid w:val="00AE61F0"/>
    <w:rsid w:val="00AF125A"/>
    <w:rsid w:val="00AF2A7D"/>
    <w:rsid w:val="00B020E1"/>
    <w:rsid w:val="00B02563"/>
    <w:rsid w:val="00B14EC1"/>
    <w:rsid w:val="00B43A46"/>
    <w:rsid w:val="00B43F51"/>
    <w:rsid w:val="00B72D9F"/>
    <w:rsid w:val="00B81065"/>
    <w:rsid w:val="00B8248A"/>
    <w:rsid w:val="00B94585"/>
    <w:rsid w:val="00BC4654"/>
    <w:rsid w:val="00BC4796"/>
    <w:rsid w:val="00BC5174"/>
    <w:rsid w:val="00BD22E7"/>
    <w:rsid w:val="00BD2388"/>
    <w:rsid w:val="00BD3655"/>
    <w:rsid w:val="00BE08F8"/>
    <w:rsid w:val="00BE3C44"/>
    <w:rsid w:val="00BE7057"/>
    <w:rsid w:val="00C0404B"/>
    <w:rsid w:val="00C14B48"/>
    <w:rsid w:val="00C20A2E"/>
    <w:rsid w:val="00C21DC0"/>
    <w:rsid w:val="00C25A31"/>
    <w:rsid w:val="00C311FE"/>
    <w:rsid w:val="00C313D6"/>
    <w:rsid w:val="00C33533"/>
    <w:rsid w:val="00C41068"/>
    <w:rsid w:val="00C53DED"/>
    <w:rsid w:val="00C574DB"/>
    <w:rsid w:val="00C62F9D"/>
    <w:rsid w:val="00C64AAC"/>
    <w:rsid w:val="00C72136"/>
    <w:rsid w:val="00C82940"/>
    <w:rsid w:val="00C92DA6"/>
    <w:rsid w:val="00C97B4C"/>
    <w:rsid w:val="00CA3777"/>
    <w:rsid w:val="00CA578D"/>
    <w:rsid w:val="00CA79EC"/>
    <w:rsid w:val="00CB27D2"/>
    <w:rsid w:val="00CB552C"/>
    <w:rsid w:val="00CB5633"/>
    <w:rsid w:val="00CC47FB"/>
    <w:rsid w:val="00CC5E12"/>
    <w:rsid w:val="00CD0FDE"/>
    <w:rsid w:val="00CD659B"/>
    <w:rsid w:val="00CD7779"/>
    <w:rsid w:val="00CE5AA7"/>
    <w:rsid w:val="00CF21DD"/>
    <w:rsid w:val="00CF3D1A"/>
    <w:rsid w:val="00D0556F"/>
    <w:rsid w:val="00D20C59"/>
    <w:rsid w:val="00D35CA8"/>
    <w:rsid w:val="00D4135E"/>
    <w:rsid w:val="00D54FBB"/>
    <w:rsid w:val="00D55239"/>
    <w:rsid w:val="00D6173D"/>
    <w:rsid w:val="00D840EB"/>
    <w:rsid w:val="00D87BD0"/>
    <w:rsid w:val="00DA54F4"/>
    <w:rsid w:val="00DC6F23"/>
    <w:rsid w:val="00DE5278"/>
    <w:rsid w:val="00DE58FC"/>
    <w:rsid w:val="00DF1D2C"/>
    <w:rsid w:val="00E02CED"/>
    <w:rsid w:val="00E0544F"/>
    <w:rsid w:val="00E101D8"/>
    <w:rsid w:val="00E1121C"/>
    <w:rsid w:val="00E1131E"/>
    <w:rsid w:val="00E20D38"/>
    <w:rsid w:val="00E268DB"/>
    <w:rsid w:val="00E420BA"/>
    <w:rsid w:val="00E4269A"/>
    <w:rsid w:val="00E43B64"/>
    <w:rsid w:val="00E43D2C"/>
    <w:rsid w:val="00E45E24"/>
    <w:rsid w:val="00E56D87"/>
    <w:rsid w:val="00E63E1A"/>
    <w:rsid w:val="00E64A86"/>
    <w:rsid w:val="00E80425"/>
    <w:rsid w:val="00E80939"/>
    <w:rsid w:val="00E82B19"/>
    <w:rsid w:val="00E83737"/>
    <w:rsid w:val="00E86507"/>
    <w:rsid w:val="00E90E0B"/>
    <w:rsid w:val="00E96CF6"/>
    <w:rsid w:val="00E97074"/>
    <w:rsid w:val="00EA49C3"/>
    <w:rsid w:val="00EB2526"/>
    <w:rsid w:val="00EB619C"/>
    <w:rsid w:val="00ED45BD"/>
    <w:rsid w:val="00ED55CC"/>
    <w:rsid w:val="00ED5971"/>
    <w:rsid w:val="00EE1E94"/>
    <w:rsid w:val="00EE3679"/>
    <w:rsid w:val="00F00BA0"/>
    <w:rsid w:val="00F018C5"/>
    <w:rsid w:val="00F050CD"/>
    <w:rsid w:val="00F129EF"/>
    <w:rsid w:val="00F12E2F"/>
    <w:rsid w:val="00F13538"/>
    <w:rsid w:val="00F21D88"/>
    <w:rsid w:val="00F25ECE"/>
    <w:rsid w:val="00F270C2"/>
    <w:rsid w:val="00F4751E"/>
    <w:rsid w:val="00F5178C"/>
    <w:rsid w:val="00F61890"/>
    <w:rsid w:val="00F6575B"/>
    <w:rsid w:val="00F70AAE"/>
    <w:rsid w:val="00F74247"/>
    <w:rsid w:val="00F80776"/>
    <w:rsid w:val="00F82E1A"/>
    <w:rsid w:val="00F92854"/>
    <w:rsid w:val="00FC03FC"/>
    <w:rsid w:val="00FD104D"/>
    <w:rsid w:val="00FD2CC1"/>
    <w:rsid w:val="00FD4477"/>
    <w:rsid w:val="00FE4723"/>
    <w:rsid w:val="00F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58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8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5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B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E56D8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E56D87"/>
    <w:pPr>
      <w:spacing w:after="120"/>
    </w:pPr>
    <w:rPr>
      <w:color w:val="000000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E56D8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72A3-E258-455E-B809-C58F9520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Быкова Ольга Алексеевна</cp:lastModifiedBy>
  <cp:revision>303</cp:revision>
  <cp:lastPrinted>2019-08-28T02:35:00Z</cp:lastPrinted>
  <dcterms:created xsi:type="dcterms:W3CDTF">2015-04-29T04:17:00Z</dcterms:created>
  <dcterms:modified xsi:type="dcterms:W3CDTF">2019-10-23T02:22:00Z</dcterms:modified>
</cp:coreProperties>
</file>